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30CF51" w14:textId="77777777" w:rsidR="001D64F5" w:rsidRDefault="001D64F5" w:rsidP="004D459C">
      <w:pPr>
        <w:jc w:val="center"/>
        <w:rPr>
          <w:rFonts w:ascii="Comic Sans MS" w:hAnsi="Comic Sans MS"/>
          <w:b/>
          <w:color w:val="0070C0"/>
          <w:sz w:val="72"/>
        </w:rPr>
      </w:pPr>
    </w:p>
    <w:p w14:paraId="34016E37" w14:textId="79357506" w:rsidR="004D459C" w:rsidRDefault="004D459C" w:rsidP="004D459C">
      <w:pPr>
        <w:jc w:val="center"/>
        <w:rPr>
          <w:rFonts w:ascii="Comic Sans MS" w:hAnsi="Comic Sans MS"/>
          <w:b/>
          <w:color w:val="0070C0"/>
          <w:sz w:val="72"/>
        </w:rPr>
      </w:pPr>
      <w:r w:rsidRPr="001D64F5">
        <w:rPr>
          <w:rFonts w:ascii="Comic Sans MS" w:hAnsi="Comic Sans MS"/>
          <w:b/>
          <w:color w:val="0070C0"/>
          <w:sz w:val="72"/>
        </w:rPr>
        <w:t>Struthers Primary School</w:t>
      </w:r>
    </w:p>
    <w:p w14:paraId="234AEE1E" w14:textId="42FB9CA4" w:rsidR="001D64F5" w:rsidRPr="001D64F5" w:rsidRDefault="001D64F5" w:rsidP="001D64F5">
      <w:pPr>
        <w:jc w:val="center"/>
        <w:rPr>
          <w:rFonts w:ascii="Comic Sans MS" w:hAnsi="Comic Sans MS"/>
          <w:b/>
          <w:color w:val="0070C0"/>
          <w:sz w:val="72"/>
        </w:rPr>
      </w:pPr>
      <w:r w:rsidRPr="001D64F5">
        <w:rPr>
          <w:noProof/>
          <w:lang w:eastAsia="en-GB"/>
        </w:rPr>
        <w:drawing>
          <wp:inline distT="0" distB="0" distL="0" distR="0" wp14:anchorId="66831AFF" wp14:editId="4EAFA28B">
            <wp:extent cx="285750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57500" cy="2857500"/>
                    </a:xfrm>
                    <a:prstGeom prst="rect">
                      <a:avLst/>
                    </a:prstGeom>
                  </pic:spPr>
                </pic:pic>
              </a:graphicData>
            </a:graphic>
          </wp:inline>
        </w:drawing>
      </w:r>
    </w:p>
    <w:p w14:paraId="7C853C42" w14:textId="0C9DB8B6" w:rsidR="004D459C" w:rsidRDefault="001D64F5" w:rsidP="00492182">
      <w:pPr>
        <w:jc w:val="center"/>
        <w:rPr>
          <w:rFonts w:ascii="Comic Sans MS" w:hAnsi="Comic Sans MS"/>
          <w:b/>
          <w:color w:val="0070C0"/>
          <w:sz w:val="96"/>
        </w:rPr>
      </w:pPr>
      <w:r w:rsidRPr="001D64F5">
        <w:rPr>
          <w:rFonts w:ascii="Comic Sans MS" w:hAnsi="Comic Sans MS"/>
          <w:b/>
          <w:color w:val="0070C0"/>
          <w:sz w:val="72"/>
        </w:rPr>
        <w:lastRenderedPageBreak/>
        <w:t xml:space="preserve">Embedding </w:t>
      </w:r>
      <w:r w:rsidR="004D459C" w:rsidRPr="001D64F5">
        <w:rPr>
          <w:rFonts w:ascii="Comic Sans MS" w:hAnsi="Comic Sans MS"/>
          <w:b/>
          <w:color w:val="0070C0"/>
          <w:sz w:val="72"/>
        </w:rPr>
        <w:t xml:space="preserve">Maths Mastery </w:t>
      </w:r>
      <w:r w:rsidR="004D459C" w:rsidRPr="001D64F5">
        <w:rPr>
          <w:rFonts w:ascii="Comic Sans MS" w:hAnsi="Comic Sans MS"/>
          <w:b/>
          <w:color w:val="0070C0"/>
          <w:sz w:val="96"/>
        </w:rPr>
        <w:t>2018-19</w:t>
      </w:r>
    </w:p>
    <w:p w14:paraId="0C44FC3C" w14:textId="77777777" w:rsidR="001D64F5" w:rsidRDefault="001D64F5" w:rsidP="001D64F5">
      <w:pPr>
        <w:jc w:val="center"/>
        <w:rPr>
          <w:rFonts w:ascii="Comic Sans MS" w:hAnsi="Comic Sans MS"/>
          <w:b/>
          <w:color w:val="0070C0"/>
          <w:sz w:val="144"/>
        </w:rPr>
      </w:pPr>
      <w:r>
        <w:rPr>
          <w:rFonts w:ascii="Arial" w:hAnsi="Arial" w:cs="Arial"/>
          <w:noProof/>
          <w:color w:val="1A0DAB"/>
          <w:sz w:val="20"/>
          <w:szCs w:val="20"/>
          <w:bdr w:val="none" w:sz="0" w:space="0" w:color="auto" w:frame="1"/>
          <w:lang w:eastAsia="en-GB"/>
        </w:rPr>
        <w:drawing>
          <wp:inline distT="0" distB="0" distL="0" distR="0" wp14:anchorId="605EAB30" wp14:editId="64859DFA">
            <wp:extent cx="3491230" cy="3360420"/>
            <wp:effectExtent l="0" t="0" r="0" b="0"/>
            <wp:docPr id="8" name="Picture 8" descr="Image result for maths ,mastery clipart">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ths ,mastery clipart">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1230" cy="3360420"/>
                    </a:xfrm>
                    <a:prstGeom prst="rect">
                      <a:avLst/>
                    </a:prstGeom>
                    <a:noFill/>
                    <a:ln>
                      <a:noFill/>
                    </a:ln>
                  </pic:spPr>
                </pic:pic>
              </a:graphicData>
            </a:graphic>
          </wp:inline>
        </w:drawing>
      </w:r>
    </w:p>
    <w:p w14:paraId="3D2641F1" w14:textId="43AE2EC4" w:rsidR="004D459C" w:rsidRPr="001D64F5" w:rsidRDefault="004D459C" w:rsidP="001D64F5">
      <w:pPr>
        <w:jc w:val="center"/>
        <w:rPr>
          <w:rFonts w:ascii="Comic Sans MS" w:hAnsi="Comic Sans MS"/>
          <w:b/>
          <w:color w:val="0070C0"/>
          <w:sz w:val="144"/>
        </w:rPr>
      </w:pPr>
      <w:r w:rsidRPr="00492182">
        <w:rPr>
          <w:rFonts w:ascii="Comic Sans MS" w:hAnsi="Comic Sans MS"/>
          <w:b/>
          <w:color w:val="00B050"/>
          <w:sz w:val="28"/>
          <w:u w:val="single"/>
        </w:rPr>
        <w:t>Term 1 Focus: Concrete – Pictorial – Abstract</w:t>
      </w:r>
    </w:p>
    <w:p w14:paraId="4757C891" w14:textId="19FD69F2" w:rsidR="008425B2" w:rsidRDefault="008425B2" w:rsidP="004D459C">
      <w:pPr>
        <w:rPr>
          <w:rFonts w:ascii="Comic Sans MS" w:hAnsi="Comic Sans MS"/>
          <w:b/>
          <w:sz w:val="28"/>
          <w:u w:val="single"/>
        </w:rPr>
      </w:pPr>
      <w:r w:rsidRPr="001C6BC6">
        <w:rPr>
          <w:rFonts w:ascii="Arial" w:hAnsi="Arial" w:cs="Arial"/>
          <w:noProof/>
          <w:sz w:val="24"/>
          <w:szCs w:val="24"/>
          <w:lang w:eastAsia="en-GB"/>
        </w:rPr>
        <w:lastRenderedPageBreak/>
        <w:drawing>
          <wp:anchor distT="0" distB="0" distL="114300" distR="114300" simplePos="0" relativeHeight="251659264" behindDoc="0" locked="0" layoutInCell="1" allowOverlap="1" wp14:anchorId="233F457F" wp14:editId="75D4734D">
            <wp:simplePos x="0" y="0"/>
            <wp:positionH relativeFrom="margin">
              <wp:align>center</wp:align>
            </wp:positionH>
            <wp:positionV relativeFrom="paragraph">
              <wp:posOffset>6985</wp:posOffset>
            </wp:positionV>
            <wp:extent cx="4600575" cy="219138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155" b="7842"/>
                    <a:stretch/>
                  </pic:blipFill>
                  <pic:spPr bwMode="auto">
                    <a:xfrm>
                      <a:off x="0" y="0"/>
                      <a:ext cx="4600575" cy="2191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B70C2" w14:textId="4C6D743A" w:rsidR="004D459C" w:rsidRDefault="004D459C" w:rsidP="008425B2">
      <w:pPr>
        <w:rPr>
          <w:rFonts w:ascii="Comic Sans MS" w:hAnsi="Comic Sans MS"/>
          <w:sz w:val="28"/>
        </w:rPr>
      </w:pPr>
    </w:p>
    <w:p w14:paraId="6612DA88" w14:textId="77777777" w:rsidR="00492182" w:rsidRDefault="00492182" w:rsidP="008425B2">
      <w:pPr>
        <w:spacing w:before="100" w:beforeAutospacing="1" w:after="120" w:line="240" w:lineRule="auto"/>
        <w:jc w:val="both"/>
        <w:rPr>
          <w:rFonts w:ascii="Comic Sans MS" w:hAnsi="Comic Sans MS" w:cs="Arial"/>
          <w:color w:val="000000" w:themeColor="text1"/>
          <w:sz w:val="24"/>
          <w:szCs w:val="24"/>
        </w:rPr>
      </w:pPr>
    </w:p>
    <w:p w14:paraId="1FA34245" w14:textId="77777777" w:rsidR="00492182" w:rsidRDefault="00492182" w:rsidP="008425B2">
      <w:pPr>
        <w:spacing w:before="100" w:beforeAutospacing="1" w:after="120" w:line="240" w:lineRule="auto"/>
        <w:jc w:val="both"/>
        <w:rPr>
          <w:rFonts w:ascii="Comic Sans MS" w:hAnsi="Comic Sans MS" w:cs="Arial"/>
          <w:color w:val="000000" w:themeColor="text1"/>
          <w:sz w:val="24"/>
          <w:szCs w:val="24"/>
        </w:rPr>
      </w:pPr>
    </w:p>
    <w:p w14:paraId="7D353F86" w14:textId="77777777" w:rsidR="00492182" w:rsidRDefault="00492182" w:rsidP="008425B2">
      <w:pPr>
        <w:spacing w:before="100" w:beforeAutospacing="1" w:after="120" w:line="240" w:lineRule="auto"/>
        <w:jc w:val="both"/>
        <w:rPr>
          <w:rFonts w:ascii="Comic Sans MS" w:hAnsi="Comic Sans MS" w:cs="Arial"/>
          <w:color w:val="000000" w:themeColor="text1"/>
          <w:sz w:val="24"/>
          <w:szCs w:val="24"/>
        </w:rPr>
      </w:pPr>
    </w:p>
    <w:p w14:paraId="7DAD7428" w14:textId="77777777" w:rsidR="00492182" w:rsidRDefault="00492182" w:rsidP="008425B2">
      <w:pPr>
        <w:spacing w:before="100" w:beforeAutospacing="1" w:after="120" w:line="240" w:lineRule="auto"/>
        <w:jc w:val="both"/>
        <w:rPr>
          <w:rFonts w:ascii="Comic Sans MS" w:hAnsi="Comic Sans MS" w:cs="Arial"/>
          <w:color w:val="000000" w:themeColor="text1"/>
          <w:sz w:val="24"/>
          <w:szCs w:val="24"/>
        </w:rPr>
      </w:pPr>
    </w:p>
    <w:p w14:paraId="101165DE" w14:textId="19276637" w:rsidR="005C55BB" w:rsidRPr="005C55BB" w:rsidRDefault="005C55BB" w:rsidP="005C55BB">
      <w:pPr>
        <w:spacing w:before="100" w:beforeAutospacing="1" w:after="120" w:line="240" w:lineRule="auto"/>
        <w:jc w:val="both"/>
        <w:rPr>
          <w:rFonts w:ascii="Comic Sans MS" w:hAnsi="Comic Sans MS" w:cs="Arial"/>
          <w:color w:val="000000" w:themeColor="text1"/>
          <w:sz w:val="20"/>
          <w:szCs w:val="24"/>
        </w:rPr>
      </w:pPr>
      <w:r w:rsidRPr="005C55BB">
        <w:rPr>
          <w:rFonts w:ascii="Arial" w:hAnsi="Arial" w:cs="Arial"/>
          <w:color w:val="000000" w:themeColor="text1"/>
          <w:sz w:val="24"/>
          <w:szCs w:val="24"/>
        </w:rPr>
        <w:t xml:space="preserve"> </w:t>
      </w:r>
      <w:r w:rsidRPr="005C55BB">
        <w:rPr>
          <w:rFonts w:ascii="Comic Sans MS" w:hAnsi="Comic Sans MS" w:cs="Arial"/>
          <w:color w:val="000000" w:themeColor="text1"/>
          <w:sz w:val="20"/>
          <w:szCs w:val="24"/>
        </w:rPr>
        <w:t xml:space="preserve">Glasgow Counts provides the following definition of CPA.  </w:t>
      </w:r>
    </w:p>
    <w:p w14:paraId="067DA109" w14:textId="5888DC31" w:rsidR="005C55BB" w:rsidRPr="005C55BB" w:rsidRDefault="005C55BB" w:rsidP="005C55BB">
      <w:pPr>
        <w:spacing w:before="100" w:beforeAutospacing="1" w:after="120" w:line="240" w:lineRule="auto"/>
        <w:jc w:val="both"/>
        <w:rPr>
          <w:rFonts w:ascii="Comic Sans MS" w:hAnsi="Comic Sans MS" w:cs="Arial"/>
          <w:color w:val="000000" w:themeColor="text1"/>
          <w:sz w:val="20"/>
          <w:szCs w:val="24"/>
        </w:rPr>
      </w:pPr>
      <w:r w:rsidRPr="005C55BB">
        <w:rPr>
          <w:rFonts w:ascii="Comic Sans MS" w:hAnsi="Comic Sans MS" w:cs="Arial"/>
          <w:color w:val="000000" w:themeColor="text1"/>
          <w:sz w:val="20"/>
          <w:szCs w:val="24"/>
        </w:rPr>
        <w:t xml:space="preserve">CPA is an approach to teaching mathematics based on the work of Jerome Bruner (1960). Bruner’s premise was that children’s conceptual understanding develops from being actively engaged in their learning and making sequential process through these three stages of representation:  enactive, iconic and symbolic (mapped onto concrete, pictorial, abstract respectively).  Each stage builds on the previous one, although unlike </w:t>
      </w:r>
      <w:proofErr w:type="spellStart"/>
      <w:r w:rsidRPr="005C55BB">
        <w:rPr>
          <w:rFonts w:ascii="Comic Sans MS" w:hAnsi="Comic Sans MS" w:cs="Arial"/>
          <w:color w:val="000000" w:themeColor="text1"/>
          <w:sz w:val="20"/>
          <w:szCs w:val="24"/>
        </w:rPr>
        <w:t>Pagetian</w:t>
      </w:r>
      <w:proofErr w:type="spellEnd"/>
      <w:r w:rsidRPr="005C55BB">
        <w:rPr>
          <w:rFonts w:ascii="Comic Sans MS" w:hAnsi="Comic Sans MS" w:cs="Arial"/>
          <w:color w:val="000000" w:themeColor="text1"/>
          <w:sz w:val="20"/>
          <w:szCs w:val="24"/>
        </w:rPr>
        <w:t xml:space="preserve"> theory, they are not age-related.</w:t>
      </w:r>
    </w:p>
    <w:p w14:paraId="1C979044" w14:textId="6C550491" w:rsidR="005C55BB" w:rsidRPr="005C55BB" w:rsidRDefault="005C55BB" w:rsidP="005C55BB">
      <w:pPr>
        <w:spacing w:before="100" w:beforeAutospacing="1" w:after="120" w:line="240" w:lineRule="auto"/>
        <w:jc w:val="both"/>
        <w:rPr>
          <w:rFonts w:ascii="Comic Sans MS" w:hAnsi="Comic Sans MS" w:cs="Arial"/>
          <w:color w:val="000000" w:themeColor="text1"/>
          <w:sz w:val="20"/>
          <w:szCs w:val="24"/>
        </w:rPr>
      </w:pPr>
      <w:r w:rsidRPr="005C55BB">
        <w:rPr>
          <w:rFonts w:ascii="Comic Sans MS" w:hAnsi="Comic Sans MS" w:cs="Arial"/>
          <w:color w:val="000000" w:themeColor="text1"/>
          <w:sz w:val="20"/>
          <w:szCs w:val="24"/>
        </w:rPr>
        <w:t xml:space="preserve">CPA therefore encompasses multiple models that approach a concept at different cognitive levels.  Firstly at the concrete level, pupils are exposed to a range of appropriate manipulatives, for example, dienes, </w:t>
      </w:r>
      <w:proofErr w:type="spellStart"/>
      <w:r w:rsidRPr="005C55BB">
        <w:rPr>
          <w:rFonts w:ascii="Comic Sans MS" w:hAnsi="Comic Sans MS" w:cs="Arial"/>
          <w:color w:val="000000" w:themeColor="text1"/>
          <w:sz w:val="20"/>
          <w:szCs w:val="24"/>
        </w:rPr>
        <w:t>unifix</w:t>
      </w:r>
      <w:proofErr w:type="spellEnd"/>
      <w:r w:rsidRPr="005C55BB">
        <w:rPr>
          <w:rFonts w:ascii="Comic Sans MS" w:hAnsi="Comic Sans MS" w:cs="Arial"/>
          <w:color w:val="000000" w:themeColor="text1"/>
          <w:sz w:val="20"/>
          <w:szCs w:val="24"/>
        </w:rPr>
        <w:t xml:space="preserve">, </w:t>
      </w:r>
      <w:proofErr w:type="spellStart"/>
      <w:r w:rsidRPr="005C55BB">
        <w:rPr>
          <w:rFonts w:ascii="Comic Sans MS" w:hAnsi="Comic Sans MS" w:cs="Arial"/>
          <w:color w:val="000000" w:themeColor="text1"/>
          <w:sz w:val="20"/>
          <w:szCs w:val="24"/>
        </w:rPr>
        <w:t>numicon</w:t>
      </w:r>
      <w:proofErr w:type="spellEnd"/>
      <w:r w:rsidRPr="005C55BB">
        <w:rPr>
          <w:rFonts w:ascii="Comic Sans MS" w:hAnsi="Comic Sans MS" w:cs="Arial"/>
          <w:color w:val="000000" w:themeColor="text1"/>
          <w:sz w:val="20"/>
          <w:szCs w:val="24"/>
        </w:rPr>
        <w:t>, ten frames, straws, dot patterns, counters, shapes, coins and dice.  Use of these concrete objects engaged children and young people with their learning and can provide a ‘hook’ into the learning.  Another advantage of this approach is that discussion is a natural by-product of active learning which is an element of good quality maths teaching and learning (Williams, 2008).</w:t>
      </w:r>
    </w:p>
    <w:p w14:paraId="7D864ACE" w14:textId="33A3CBA1" w:rsidR="005C55BB" w:rsidRPr="005C55BB" w:rsidRDefault="005C55BB" w:rsidP="005C55BB">
      <w:pPr>
        <w:spacing w:before="100" w:beforeAutospacing="1" w:after="120" w:line="240" w:lineRule="auto"/>
        <w:jc w:val="both"/>
        <w:rPr>
          <w:rFonts w:ascii="Comic Sans MS" w:hAnsi="Comic Sans MS" w:cs="Arial"/>
          <w:color w:val="000000" w:themeColor="text1"/>
          <w:sz w:val="20"/>
          <w:szCs w:val="24"/>
        </w:rPr>
      </w:pPr>
      <w:r w:rsidRPr="005C55BB">
        <w:rPr>
          <w:rFonts w:ascii="Comic Sans MS" w:hAnsi="Comic Sans MS" w:cs="Arial"/>
          <w:color w:val="000000" w:themeColor="text1"/>
          <w:sz w:val="20"/>
          <w:szCs w:val="24"/>
        </w:rPr>
        <w:lastRenderedPageBreak/>
        <w:t>Progress into the pictorial phase is consequently underpinned by active, memorable experiences leading to deep learning.  The second phase aids visualisation and the bar model is a key element in providing a consistency in the pictorial phase of problem solving along with number lines, hundred squares, diagrams and pictures.</w:t>
      </w:r>
    </w:p>
    <w:p w14:paraId="23F0B354" w14:textId="1843CB07" w:rsidR="005C55BB" w:rsidRPr="005C55BB" w:rsidRDefault="005C55BB" w:rsidP="005C55BB">
      <w:pPr>
        <w:spacing w:before="100" w:beforeAutospacing="1" w:after="120" w:line="240" w:lineRule="auto"/>
        <w:jc w:val="both"/>
        <w:rPr>
          <w:rFonts w:ascii="Comic Sans MS" w:hAnsi="Comic Sans MS" w:cs="Arial"/>
          <w:color w:val="000000" w:themeColor="text1"/>
          <w:sz w:val="20"/>
          <w:szCs w:val="24"/>
        </w:rPr>
      </w:pPr>
      <w:r w:rsidRPr="005C55BB">
        <w:rPr>
          <w:rFonts w:ascii="Comic Sans MS" w:hAnsi="Comic Sans MS" w:cs="Arial"/>
          <w:color w:val="000000" w:themeColor="text1"/>
          <w:sz w:val="20"/>
          <w:szCs w:val="24"/>
        </w:rPr>
        <w:t>It is important to note that although the ultimate aim of a CPA strategy is to culminate in a fluent, abstract approach characterised by quick, efficient methods, the process should not be rushed.  It may be necessary to return to previous phases to address pupils’ misconceptions and consolidate their conceptual understanding.</w:t>
      </w:r>
    </w:p>
    <w:p w14:paraId="641C65F8" w14:textId="04C2556E" w:rsidR="005C55BB" w:rsidRPr="005C55BB" w:rsidRDefault="005C55BB" w:rsidP="005C55BB">
      <w:pPr>
        <w:spacing w:before="100" w:beforeAutospacing="1" w:after="120" w:line="240" w:lineRule="auto"/>
        <w:jc w:val="both"/>
        <w:rPr>
          <w:rFonts w:ascii="Comic Sans MS" w:hAnsi="Comic Sans MS" w:cs="Arial"/>
          <w:color w:val="000000" w:themeColor="text1"/>
          <w:sz w:val="20"/>
          <w:szCs w:val="24"/>
        </w:rPr>
      </w:pPr>
      <w:r w:rsidRPr="004D459C">
        <w:rPr>
          <w:noProof/>
          <w:lang w:eastAsia="en-GB"/>
        </w:rPr>
        <w:drawing>
          <wp:anchor distT="0" distB="0" distL="114300" distR="114300" simplePos="0" relativeHeight="251660288" behindDoc="0" locked="0" layoutInCell="1" allowOverlap="1" wp14:anchorId="280209CA" wp14:editId="517D6353">
            <wp:simplePos x="0" y="0"/>
            <wp:positionH relativeFrom="column">
              <wp:posOffset>1724026</wp:posOffset>
            </wp:positionH>
            <wp:positionV relativeFrom="paragraph">
              <wp:posOffset>588645</wp:posOffset>
            </wp:positionV>
            <wp:extent cx="2914650" cy="104982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42454" cy="1059836"/>
                    </a:xfrm>
                    <a:prstGeom prst="rect">
                      <a:avLst/>
                    </a:prstGeom>
                  </pic:spPr>
                </pic:pic>
              </a:graphicData>
            </a:graphic>
            <wp14:sizeRelH relativeFrom="margin">
              <wp14:pctWidth>0</wp14:pctWidth>
            </wp14:sizeRelH>
            <wp14:sizeRelV relativeFrom="margin">
              <wp14:pctHeight>0</wp14:pctHeight>
            </wp14:sizeRelV>
          </wp:anchor>
        </w:drawing>
      </w:r>
      <w:r w:rsidRPr="005C55BB">
        <w:rPr>
          <w:rFonts w:ascii="Comic Sans MS" w:hAnsi="Comic Sans MS" w:cs="Arial"/>
          <w:color w:val="000000" w:themeColor="text1"/>
          <w:sz w:val="20"/>
          <w:szCs w:val="24"/>
        </w:rPr>
        <w:t xml:space="preserve">Another key feature of the CPA process is that although concrete objects may be perceived as too elementary for upper primary learners (Sousa, 2007), both concrete and pictorial representations should be used across all stages of learning.  </w:t>
      </w:r>
    </w:p>
    <w:p w14:paraId="6F031728" w14:textId="4011C514" w:rsidR="008425B2" w:rsidRDefault="008425B2" w:rsidP="008425B2">
      <w:pPr>
        <w:spacing w:before="100" w:beforeAutospacing="1" w:after="120" w:line="240" w:lineRule="auto"/>
        <w:jc w:val="both"/>
        <w:rPr>
          <w:rFonts w:ascii="Comic Sans MS" w:hAnsi="Comic Sans MS" w:cs="Arial"/>
          <w:color w:val="000000" w:themeColor="text1"/>
          <w:sz w:val="24"/>
          <w:szCs w:val="24"/>
        </w:rPr>
      </w:pPr>
    </w:p>
    <w:p w14:paraId="1615CEA3" w14:textId="52584017" w:rsidR="00492182" w:rsidRDefault="00492182" w:rsidP="008425B2">
      <w:pPr>
        <w:spacing w:before="100" w:beforeAutospacing="1" w:after="120" w:line="240" w:lineRule="auto"/>
        <w:jc w:val="both"/>
        <w:rPr>
          <w:rFonts w:ascii="Comic Sans MS" w:hAnsi="Comic Sans MS" w:cs="Arial"/>
          <w:color w:val="000000" w:themeColor="text1"/>
          <w:sz w:val="24"/>
          <w:szCs w:val="24"/>
        </w:rPr>
      </w:pPr>
    </w:p>
    <w:p w14:paraId="1E9FA380" w14:textId="2F8DD963" w:rsidR="005C55BB" w:rsidRDefault="005C55BB" w:rsidP="008425B2">
      <w:pPr>
        <w:spacing w:before="100" w:beforeAutospacing="1" w:after="120" w:line="240" w:lineRule="auto"/>
        <w:jc w:val="both"/>
        <w:rPr>
          <w:rFonts w:ascii="Comic Sans MS" w:hAnsi="Comic Sans MS" w:cs="Arial"/>
          <w:b/>
          <w:color w:val="000000" w:themeColor="text1"/>
          <w:sz w:val="24"/>
          <w:szCs w:val="24"/>
          <w:u w:val="single"/>
        </w:rPr>
      </w:pPr>
      <w:r w:rsidRPr="005C55BB">
        <w:rPr>
          <w:rFonts w:ascii="Comic Sans MS" w:hAnsi="Comic Sans MS" w:cs="Arial"/>
          <w:b/>
          <w:color w:val="000000" w:themeColor="text1"/>
          <w:sz w:val="24"/>
          <w:szCs w:val="24"/>
          <w:u w:val="single"/>
        </w:rPr>
        <w:t>Support for staff</w:t>
      </w:r>
    </w:p>
    <w:p w14:paraId="6FD98AB8" w14:textId="1916C8E4" w:rsidR="005C55BB" w:rsidRPr="005C55BB" w:rsidRDefault="005C55BB" w:rsidP="005C55BB">
      <w:pPr>
        <w:pStyle w:val="ListParagraph"/>
        <w:numPr>
          <w:ilvl w:val="0"/>
          <w:numId w:val="1"/>
        </w:numPr>
        <w:spacing w:before="100" w:beforeAutospacing="1" w:after="120" w:line="240" w:lineRule="auto"/>
        <w:jc w:val="both"/>
        <w:rPr>
          <w:rFonts w:ascii="Comic Sans MS" w:hAnsi="Comic Sans MS" w:cs="Arial"/>
          <w:color w:val="000000" w:themeColor="text1"/>
          <w:sz w:val="24"/>
          <w:szCs w:val="24"/>
        </w:rPr>
      </w:pPr>
      <w:r w:rsidRPr="005C55BB">
        <w:rPr>
          <w:rFonts w:ascii="Comic Sans MS" w:hAnsi="Comic Sans MS" w:cs="Arial"/>
          <w:color w:val="000000" w:themeColor="text1"/>
          <w:sz w:val="24"/>
          <w:szCs w:val="24"/>
        </w:rPr>
        <w:t>Collective CLPL delivered by Mrs Lockie at TSM May 2018</w:t>
      </w:r>
    </w:p>
    <w:p w14:paraId="030CF5E9" w14:textId="77777777" w:rsidR="005C55BB" w:rsidRDefault="00492182" w:rsidP="005C55BB">
      <w:pPr>
        <w:pStyle w:val="ListParagraph"/>
        <w:numPr>
          <w:ilvl w:val="0"/>
          <w:numId w:val="1"/>
        </w:numPr>
        <w:rPr>
          <w:rFonts w:ascii="Comic Sans MS" w:hAnsi="Comic Sans MS"/>
          <w:sz w:val="24"/>
        </w:rPr>
      </w:pPr>
      <w:r w:rsidRPr="005C55BB">
        <w:rPr>
          <w:rFonts w:ascii="Comic Sans MS" w:hAnsi="Comic Sans MS"/>
          <w:sz w:val="24"/>
        </w:rPr>
        <w:t>‘CPA Progression within calculations’ document for ideas of how to implement CPA in the learning and teaching of the four processes</w:t>
      </w:r>
      <w:r w:rsidR="005C55BB">
        <w:rPr>
          <w:rFonts w:ascii="Comic Sans MS" w:hAnsi="Comic Sans MS"/>
          <w:sz w:val="24"/>
        </w:rPr>
        <w:t xml:space="preserve"> </w:t>
      </w:r>
      <w:r w:rsidRPr="005C55BB">
        <w:rPr>
          <w:rFonts w:ascii="Comic Sans MS" w:hAnsi="Comic Sans MS"/>
          <w:sz w:val="24"/>
        </w:rPr>
        <w:t xml:space="preserve">saved on the </w:t>
      </w:r>
    </w:p>
    <w:p w14:paraId="2791D656" w14:textId="71D5B0B8" w:rsidR="00492182" w:rsidRPr="005C55BB" w:rsidRDefault="005C55BB" w:rsidP="005C55BB">
      <w:pPr>
        <w:pStyle w:val="ListParagraph"/>
        <w:ind w:left="795"/>
        <w:rPr>
          <w:rFonts w:ascii="Comic Sans MS" w:hAnsi="Comic Sans MS"/>
          <w:sz w:val="24"/>
        </w:rPr>
      </w:pPr>
      <w:r>
        <w:rPr>
          <w:rFonts w:ascii="Comic Sans MS" w:hAnsi="Comic Sans MS"/>
          <w:sz w:val="24"/>
        </w:rPr>
        <w:t>S</w:t>
      </w:r>
      <w:r w:rsidR="00492182" w:rsidRPr="005C55BB">
        <w:rPr>
          <w:rFonts w:ascii="Comic Sans MS" w:hAnsi="Comic Sans MS"/>
          <w:sz w:val="24"/>
        </w:rPr>
        <w:t xml:space="preserve">taff </w:t>
      </w:r>
      <w:r>
        <w:rPr>
          <w:rFonts w:ascii="Comic Sans MS" w:hAnsi="Comic Sans MS"/>
          <w:sz w:val="24"/>
        </w:rPr>
        <w:t>S</w:t>
      </w:r>
      <w:r w:rsidR="00492182" w:rsidRPr="005C55BB">
        <w:rPr>
          <w:rFonts w:ascii="Comic Sans MS" w:hAnsi="Comic Sans MS"/>
          <w:sz w:val="24"/>
        </w:rPr>
        <w:t xml:space="preserve">hared </w:t>
      </w:r>
      <w:r>
        <w:rPr>
          <w:rFonts w:ascii="Comic Sans MS" w:hAnsi="Comic Sans MS"/>
          <w:sz w:val="24"/>
        </w:rPr>
        <w:t>A</w:t>
      </w:r>
      <w:r w:rsidR="00492182" w:rsidRPr="005C55BB">
        <w:rPr>
          <w:rFonts w:ascii="Comic Sans MS" w:hAnsi="Comic Sans MS"/>
          <w:sz w:val="24"/>
        </w:rPr>
        <w:t xml:space="preserve">rea – </w:t>
      </w:r>
      <w:r>
        <w:rPr>
          <w:rFonts w:ascii="Comic Sans MS" w:hAnsi="Comic Sans MS"/>
          <w:sz w:val="24"/>
        </w:rPr>
        <w:t>N</w:t>
      </w:r>
      <w:r w:rsidR="00492182" w:rsidRPr="005C55BB">
        <w:rPr>
          <w:rFonts w:ascii="Comic Sans MS" w:hAnsi="Comic Sans MS"/>
          <w:sz w:val="24"/>
        </w:rPr>
        <w:t>umeracy – Maths Mastery</w:t>
      </w:r>
      <w:r w:rsidR="009A2C4C">
        <w:rPr>
          <w:rFonts w:ascii="Comic Sans MS" w:hAnsi="Comic Sans MS"/>
          <w:sz w:val="24"/>
        </w:rPr>
        <w:t xml:space="preserve"> - CPA</w:t>
      </w:r>
    </w:p>
    <w:p w14:paraId="78D359AA" w14:textId="1EAFD9A3" w:rsidR="004D459C" w:rsidRPr="005C55BB" w:rsidRDefault="004D459C" w:rsidP="005C55BB">
      <w:pPr>
        <w:jc w:val="center"/>
        <w:rPr>
          <w:rFonts w:ascii="Comic Sans MS" w:hAnsi="Comic Sans MS"/>
          <w:b/>
          <w:color w:val="00B050"/>
          <w:sz w:val="28"/>
          <w:u w:val="single"/>
        </w:rPr>
      </w:pPr>
      <w:r w:rsidRPr="005C55BB">
        <w:rPr>
          <w:rFonts w:ascii="Comic Sans MS" w:hAnsi="Comic Sans MS"/>
          <w:b/>
          <w:color w:val="00B050"/>
          <w:sz w:val="28"/>
          <w:u w:val="single"/>
        </w:rPr>
        <w:t>Term 2 Focus: Bar Modelling</w:t>
      </w:r>
    </w:p>
    <w:p w14:paraId="00863084" w14:textId="06B7AA3E" w:rsidR="004D459C" w:rsidRDefault="004D459C" w:rsidP="004D459C">
      <w:pPr>
        <w:rPr>
          <w:rFonts w:ascii="Comic Sans MS" w:hAnsi="Comic Sans MS"/>
          <w:sz w:val="28"/>
        </w:rPr>
      </w:pPr>
      <w:r>
        <w:rPr>
          <w:noProof/>
          <w:lang w:eastAsia="en-GB"/>
        </w:rPr>
        <w:lastRenderedPageBreak/>
        <w:drawing>
          <wp:inline distT="0" distB="0" distL="0" distR="0" wp14:anchorId="7A166775" wp14:editId="0F1A8046">
            <wp:extent cx="6645910" cy="5010785"/>
            <wp:effectExtent l="0" t="0" r="254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5010785"/>
                    </a:xfrm>
                    <a:prstGeom prst="rect">
                      <a:avLst/>
                    </a:prstGeom>
                    <a:noFill/>
                    <a:ln>
                      <a:noFill/>
                    </a:ln>
                  </pic:spPr>
                </pic:pic>
              </a:graphicData>
            </a:graphic>
          </wp:inline>
        </w:drawing>
      </w:r>
    </w:p>
    <w:p w14:paraId="7FC5A0C4" w14:textId="6EB3F610" w:rsidR="005C55BB" w:rsidRDefault="005C55BB" w:rsidP="004D459C">
      <w:pPr>
        <w:rPr>
          <w:rFonts w:ascii="Comic Sans MS" w:hAnsi="Comic Sans MS" w:cs="Arial"/>
          <w:color w:val="303030"/>
          <w:sz w:val="20"/>
          <w:szCs w:val="20"/>
        </w:rPr>
      </w:pPr>
      <w:r w:rsidRPr="005C55BB">
        <w:rPr>
          <w:rFonts w:ascii="Comic Sans MS" w:hAnsi="Comic Sans MS" w:cs="Arial"/>
          <w:color w:val="303030"/>
          <w:sz w:val="20"/>
          <w:szCs w:val="20"/>
        </w:rPr>
        <w:t>Bar modelling is an essential maths mastery strategy. A Singapore-style of maths model, bar modelling allows pupils to draw and visualize mathematical concepts to solve problems in a consistent way.</w:t>
      </w:r>
    </w:p>
    <w:p w14:paraId="6066181E" w14:textId="77777777" w:rsidR="009A2C4C" w:rsidRDefault="009A2C4C" w:rsidP="004D459C">
      <w:pPr>
        <w:rPr>
          <w:rFonts w:ascii="Comic Sans MS" w:hAnsi="Comic Sans MS" w:cs="Arial"/>
          <w:color w:val="333333"/>
          <w:sz w:val="20"/>
          <w:szCs w:val="19"/>
        </w:rPr>
      </w:pPr>
      <w:r w:rsidRPr="005C55BB">
        <w:rPr>
          <w:rFonts w:ascii="Comic Sans MS" w:hAnsi="Comic Sans MS" w:cs="Arial"/>
          <w:color w:val="303030"/>
          <w:sz w:val="20"/>
          <w:szCs w:val="20"/>
        </w:rPr>
        <w:t>Bar modelling is an essential maths mastery strategy</w:t>
      </w:r>
      <w:r w:rsidRPr="009A2C4C">
        <w:rPr>
          <w:rFonts w:ascii="Comic Sans MS" w:hAnsi="Comic Sans MS" w:cs="Arial"/>
          <w:color w:val="333333"/>
          <w:sz w:val="20"/>
          <w:szCs w:val="19"/>
        </w:rPr>
        <w:t xml:space="preserve"> </w:t>
      </w:r>
      <w:r>
        <w:rPr>
          <w:rFonts w:ascii="Comic Sans MS" w:hAnsi="Comic Sans MS" w:cs="Arial"/>
          <w:color w:val="333333"/>
          <w:sz w:val="20"/>
          <w:szCs w:val="19"/>
        </w:rPr>
        <w:t xml:space="preserve">used </w:t>
      </w:r>
      <w:r w:rsidRPr="009A2C4C">
        <w:rPr>
          <w:rFonts w:ascii="Comic Sans MS" w:hAnsi="Comic Sans MS" w:cs="Arial"/>
          <w:color w:val="333333"/>
          <w:sz w:val="20"/>
          <w:szCs w:val="19"/>
        </w:rPr>
        <w:t>to support children in problem solving</w:t>
      </w:r>
      <w:r>
        <w:rPr>
          <w:rFonts w:ascii="Comic Sans MS" w:hAnsi="Comic Sans MS" w:cs="Arial"/>
          <w:color w:val="333333"/>
          <w:sz w:val="20"/>
          <w:szCs w:val="19"/>
        </w:rPr>
        <w:t xml:space="preserve">. </w:t>
      </w:r>
      <w:r w:rsidRPr="009A2C4C">
        <w:rPr>
          <w:rFonts w:ascii="Comic Sans MS" w:hAnsi="Comic Sans MS" w:cs="Arial"/>
          <w:color w:val="333333"/>
          <w:sz w:val="20"/>
          <w:szCs w:val="19"/>
        </w:rPr>
        <w:t>It is not a method fo</w:t>
      </w:r>
      <w:r>
        <w:rPr>
          <w:rFonts w:ascii="Comic Sans MS" w:hAnsi="Comic Sans MS" w:cs="Arial"/>
          <w:color w:val="333333"/>
          <w:sz w:val="20"/>
          <w:szCs w:val="19"/>
        </w:rPr>
        <w:t>r</w:t>
      </w:r>
      <w:r w:rsidRPr="009A2C4C">
        <w:rPr>
          <w:rFonts w:ascii="Comic Sans MS" w:hAnsi="Comic Sans MS" w:cs="Arial"/>
          <w:color w:val="333333"/>
          <w:sz w:val="20"/>
          <w:szCs w:val="19"/>
        </w:rPr>
        <w:t xml:space="preserve"> solving </w:t>
      </w:r>
      <w:r>
        <w:rPr>
          <w:rFonts w:ascii="Comic Sans MS" w:hAnsi="Comic Sans MS" w:cs="Arial"/>
          <w:color w:val="333333"/>
          <w:sz w:val="20"/>
          <w:szCs w:val="19"/>
        </w:rPr>
        <w:t xml:space="preserve">a </w:t>
      </w:r>
      <w:r w:rsidRPr="009A2C4C">
        <w:rPr>
          <w:rFonts w:ascii="Comic Sans MS" w:hAnsi="Comic Sans MS" w:cs="Arial"/>
          <w:color w:val="333333"/>
          <w:sz w:val="20"/>
          <w:szCs w:val="19"/>
        </w:rPr>
        <w:t xml:space="preserve">problem, but a </w:t>
      </w:r>
      <w:r>
        <w:rPr>
          <w:rFonts w:ascii="Comic Sans MS" w:hAnsi="Comic Sans MS" w:cs="Arial"/>
          <w:color w:val="333333"/>
          <w:sz w:val="20"/>
          <w:szCs w:val="19"/>
        </w:rPr>
        <w:t>visual representation of a problem that support learners in</w:t>
      </w:r>
      <w:r w:rsidRPr="009A2C4C">
        <w:rPr>
          <w:rFonts w:ascii="Comic Sans MS" w:hAnsi="Comic Sans MS" w:cs="Arial"/>
          <w:color w:val="333333"/>
          <w:sz w:val="20"/>
          <w:szCs w:val="19"/>
        </w:rPr>
        <w:t xml:space="preserve"> gaining insight and clarity as to how to solve it. </w:t>
      </w:r>
    </w:p>
    <w:p w14:paraId="08F3B269" w14:textId="7F60AB72" w:rsidR="005C55BB" w:rsidRDefault="009A2C4C" w:rsidP="004D459C">
      <w:pPr>
        <w:rPr>
          <w:rFonts w:ascii="Comic Sans MS" w:hAnsi="Comic Sans MS" w:cs="Arial"/>
          <w:color w:val="333333"/>
          <w:sz w:val="20"/>
          <w:szCs w:val="19"/>
        </w:rPr>
      </w:pPr>
      <w:r>
        <w:rPr>
          <w:rFonts w:ascii="Comic Sans MS" w:hAnsi="Comic Sans MS" w:cs="Arial"/>
          <w:color w:val="333333"/>
          <w:sz w:val="20"/>
          <w:szCs w:val="19"/>
        </w:rPr>
        <w:lastRenderedPageBreak/>
        <w:t>It is a pictorial representation that</w:t>
      </w:r>
      <w:r w:rsidRPr="009A2C4C">
        <w:rPr>
          <w:rFonts w:ascii="Comic Sans MS" w:hAnsi="Comic Sans MS" w:cs="Arial"/>
          <w:color w:val="333333"/>
          <w:sz w:val="20"/>
          <w:szCs w:val="19"/>
        </w:rPr>
        <w:t xml:space="preserve"> can bridge the gap between concrete experiences and abstract </w:t>
      </w:r>
      <w:r>
        <w:rPr>
          <w:rFonts w:ascii="Comic Sans MS" w:hAnsi="Comic Sans MS" w:cs="Arial"/>
          <w:color w:val="333333"/>
          <w:sz w:val="20"/>
          <w:szCs w:val="19"/>
        </w:rPr>
        <w:t>methods</w:t>
      </w:r>
      <w:r w:rsidRPr="009A2C4C">
        <w:rPr>
          <w:rFonts w:ascii="Comic Sans MS" w:hAnsi="Comic Sans MS" w:cs="Arial"/>
          <w:color w:val="333333"/>
          <w:sz w:val="20"/>
          <w:szCs w:val="19"/>
        </w:rPr>
        <w:t>. It can be used to represent problems involving the four operations, ratio</w:t>
      </w:r>
      <w:r>
        <w:rPr>
          <w:rFonts w:ascii="Comic Sans MS" w:hAnsi="Comic Sans MS" w:cs="Arial"/>
          <w:color w:val="333333"/>
          <w:sz w:val="20"/>
          <w:szCs w:val="19"/>
        </w:rPr>
        <w:t>, algebra</w:t>
      </w:r>
      <w:r w:rsidRPr="009A2C4C">
        <w:rPr>
          <w:rFonts w:ascii="Comic Sans MS" w:hAnsi="Comic Sans MS" w:cs="Arial"/>
          <w:color w:val="333333"/>
          <w:sz w:val="20"/>
          <w:szCs w:val="19"/>
        </w:rPr>
        <w:t xml:space="preserve"> and proportion. </w:t>
      </w:r>
    </w:p>
    <w:p w14:paraId="3A9E4254" w14:textId="64636B8D" w:rsidR="009A2C4C" w:rsidRDefault="009A2C4C" w:rsidP="004D459C">
      <w:pPr>
        <w:rPr>
          <w:rFonts w:ascii="Comic Sans MS" w:hAnsi="Comic Sans MS" w:cs="Arial"/>
          <w:color w:val="333333"/>
          <w:sz w:val="20"/>
          <w:szCs w:val="19"/>
        </w:rPr>
      </w:pPr>
    </w:p>
    <w:p w14:paraId="5521F4A9" w14:textId="396BD47A" w:rsidR="009A2C4C" w:rsidRPr="009A2C4C" w:rsidRDefault="009A2C4C" w:rsidP="004D459C">
      <w:pPr>
        <w:rPr>
          <w:rFonts w:ascii="Comic Sans MS" w:hAnsi="Comic Sans MS" w:cs="Arial"/>
          <w:b/>
          <w:color w:val="333333"/>
          <w:sz w:val="24"/>
          <w:szCs w:val="19"/>
          <w:u w:val="single"/>
        </w:rPr>
      </w:pPr>
      <w:r w:rsidRPr="009A2C4C">
        <w:rPr>
          <w:rFonts w:ascii="Comic Sans MS" w:hAnsi="Comic Sans MS" w:cs="Arial"/>
          <w:b/>
          <w:color w:val="333333"/>
          <w:sz w:val="24"/>
          <w:szCs w:val="19"/>
          <w:u w:val="single"/>
        </w:rPr>
        <w:t>Support for staff:</w:t>
      </w:r>
    </w:p>
    <w:p w14:paraId="78C316CC" w14:textId="044FA01D" w:rsidR="009A2C4C" w:rsidRPr="009A2C4C" w:rsidRDefault="009A2C4C" w:rsidP="009A2C4C">
      <w:pPr>
        <w:pStyle w:val="ListParagraph"/>
        <w:numPr>
          <w:ilvl w:val="0"/>
          <w:numId w:val="2"/>
        </w:numPr>
        <w:rPr>
          <w:rFonts w:ascii="Comic Sans MS" w:hAnsi="Comic Sans MS" w:cs="Arial"/>
          <w:color w:val="333333"/>
          <w:sz w:val="24"/>
          <w:szCs w:val="19"/>
        </w:rPr>
      </w:pPr>
      <w:r w:rsidRPr="009A2C4C">
        <w:rPr>
          <w:rFonts w:ascii="Comic Sans MS" w:hAnsi="Comic Sans MS" w:cs="Arial"/>
          <w:color w:val="333333"/>
          <w:sz w:val="24"/>
          <w:szCs w:val="19"/>
        </w:rPr>
        <w:t>Collective CLPL delivered by Mrs Lockie in Nov TSM</w:t>
      </w:r>
    </w:p>
    <w:p w14:paraId="7DBE3380" w14:textId="7EAEA874" w:rsidR="009A2C4C" w:rsidRDefault="009A2C4C" w:rsidP="009A2C4C">
      <w:pPr>
        <w:pStyle w:val="ListParagraph"/>
        <w:numPr>
          <w:ilvl w:val="0"/>
          <w:numId w:val="2"/>
        </w:numPr>
        <w:rPr>
          <w:rFonts w:ascii="Comic Sans MS" w:hAnsi="Comic Sans MS" w:cs="Arial"/>
          <w:color w:val="333333"/>
          <w:sz w:val="24"/>
          <w:szCs w:val="19"/>
        </w:rPr>
      </w:pPr>
      <w:r w:rsidRPr="009A2C4C">
        <w:rPr>
          <w:rFonts w:ascii="Comic Sans MS" w:hAnsi="Comic Sans MS" w:cs="Arial"/>
          <w:color w:val="333333"/>
          <w:sz w:val="24"/>
          <w:szCs w:val="19"/>
        </w:rPr>
        <w:t xml:space="preserve">Introduction of </w:t>
      </w:r>
      <w:proofErr w:type="spellStart"/>
      <w:r w:rsidRPr="009A2C4C">
        <w:rPr>
          <w:rFonts w:ascii="Comic Sans MS" w:hAnsi="Comic Sans MS" w:cs="Arial"/>
          <w:color w:val="333333"/>
          <w:sz w:val="24"/>
          <w:szCs w:val="19"/>
        </w:rPr>
        <w:t>Barvember</w:t>
      </w:r>
      <w:proofErr w:type="spellEnd"/>
      <w:r w:rsidRPr="009A2C4C">
        <w:rPr>
          <w:rFonts w:ascii="Comic Sans MS" w:hAnsi="Comic Sans MS" w:cs="Arial"/>
          <w:color w:val="333333"/>
          <w:sz w:val="24"/>
          <w:szCs w:val="19"/>
        </w:rPr>
        <w:t xml:space="preserve"> with links to daily problems provided and previous year’s problems shared on the Staff Shared Area – Numeracy – Maths Mastery </w:t>
      </w:r>
      <w:r>
        <w:rPr>
          <w:rFonts w:ascii="Comic Sans MS" w:hAnsi="Comic Sans MS" w:cs="Arial"/>
          <w:color w:val="333333"/>
          <w:sz w:val="24"/>
          <w:szCs w:val="19"/>
        </w:rPr>
        <w:t>–</w:t>
      </w:r>
      <w:r w:rsidRPr="009A2C4C">
        <w:rPr>
          <w:rFonts w:ascii="Comic Sans MS" w:hAnsi="Comic Sans MS" w:cs="Arial"/>
          <w:color w:val="333333"/>
          <w:sz w:val="24"/>
          <w:szCs w:val="19"/>
        </w:rPr>
        <w:t xml:space="preserve"> </w:t>
      </w:r>
      <w:proofErr w:type="spellStart"/>
      <w:r w:rsidRPr="009A2C4C">
        <w:rPr>
          <w:rFonts w:ascii="Comic Sans MS" w:hAnsi="Comic Sans MS" w:cs="Arial"/>
          <w:color w:val="333333"/>
          <w:sz w:val="24"/>
          <w:szCs w:val="19"/>
        </w:rPr>
        <w:t>Barvember</w:t>
      </w:r>
      <w:proofErr w:type="spellEnd"/>
    </w:p>
    <w:p w14:paraId="6DC349AA" w14:textId="0E195BA7" w:rsidR="009A2C4C" w:rsidRDefault="009A2C4C" w:rsidP="009A2C4C">
      <w:pPr>
        <w:pStyle w:val="ListParagraph"/>
        <w:numPr>
          <w:ilvl w:val="0"/>
          <w:numId w:val="2"/>
        </w:numPr>
        <w:rPr>
          <w:rFonts w:ascii="Comic Sans MS" w:hAnsi="Comic Sans MS" w:cs="Arial"/>
          <w:color w:val="333333"/>
          <w:sz w:val="24"/>
          <w:szCs w:val="19"/>
        </w:rPr>
      </w:pPr>
      <w:r>
        <w:rPr>
          <w:rFonts w:ascii="Comic Sans MS" w:hAnsi="Comic Sans MS" w:cs="Arial"/>
          <w:color w:val="333333"/>
          <w:sz w:val="24"/>
          <w:szCs w:val="19"/>
        </w:rPr>
        <w:t>Opportunities provided for team teaching with Mrs Lockie</w:t>
      </w:r>
    </w:p>
    <w:p w14:paraId="7DDDCDDC" w14:textId="76DEDDF5" w:rsidR="009A2C4C" w:rsidRDefault="009A2C4C" w:rsidP="009A2C4C">
      <w:pPr>
        <w:rPr>
          <w:rFonts w:ascii="Comic Sans MS" w:hAnsi="Comic Sans MS" w:cs="Arial"/>
          <w:color w:val="333333"/>
          <w:sz w:val="24"/>
          <w:szCs w:val="19"/>
        </w:rPr>
      </w:pPr>
    </w:p>
    <w:p w14:paraId="5EF5E980" w14:textId="1B0BCA1D" w:rsidR="009A2C4C" w:rsidRDefault="009A2C4C" w:rsidP="009A2C4C">
      <w:pPr>
        <w:rPr>
          <w:rFonts w:ascii="Comic Sans MS" w:hAnsi="Comic Sans MS" w:cs="Arial"/>
          <w:color w:val="333333"/>
          <w:sz w:val="24"/>
          <w:szCs w:val="19"/>
        </w:rPr>
      </w:pPr>
    </w:p>
    <w:p w14:paraId="2E55829E" w14:textId="77777777" w:rsidR="009A2C4C" w:rsidRPr="009A2C4C" w:rsidRDefault="009A2C4C" w:rsidP="009A2C4C">
      <w:pPr>
        <w:rPr>
          <w:rFonts w:ascii="Comic Sans MS" w:hAnsi="Comic Sans MS" w:cs="Arial"/>
          <w:color w:val="333333"/>
          <w:sz w:val="24"/>
          <w:szCs w:val="19"/>
        </w:rPr>
      </w:pPr>
    </w:p>
    <w:p w14:paraId="4F0AB176" w14:textId="2180B733" w:rsidR="004D459C" w:rsidRDefault="004D459C" w:rsidP="009A2C4C">
      <w:pPr>
        <w:jc w:val="center"/>
        <w:rPr>
          <w:rFonts w:ascii="Comic Sans MS" w:hAnsi="Comic Sans MS"/>
          <w:b/>
          <w:color w:val="00B050"/>
          <w:sz w:val="28"/>
          <w:u w:val="single"/>
        </w:rPr>
      </w:pPr>
      <w:r w:rsidRPr="009A2C4C">
        <w:rPr>
          <w:rFonts w:ascii="Comic Sans MS" w:hAnsi="Comic Sans MS"/>
          <w:b/>
          <w:color w:val="00B050"/>
          <w:sz w:val="28"/>
          <w:u w:val="single"/>
        </w:rPr>
        <w:t>Term 3 Focus: Part-Part-Whole model</w:t>
      </w:r>
    </w:p>
    <w:p w14:paraId="6200E429" w14:textId="0FC5E415" w:rsidR="009A2C4C" w:rsidRDefault="009A2C4C" w:rsidP="009A2C4C">
      <w:pPr>
        <w:jc w:val="center"/>
        <w:rPr>
          <w:rFonts w:ascii="Comic Sans MS" w:hAnsi="Comic Sans MS"/>
          <w:b/>
          <w:color w:val="00B050"/>
          <w:sz w:val="28"/>
          <w:u w:val="single"/>
        </w:rPr>
      </w:pPr>
    </w:p>
    <w:p w14:paraId="35CBB3B3" w14:textId="3DA58789" w:rsidR="00A86A53" w:rsidRDefault="00A86A53" w:rsidP="009A2C4C">
      <w:pPr>
        <w:jc w:val="center"/>
        <w:rPr>
          <w:rFonts w:ascii="Comic Sans MS" w:hAnsi="Comic Sans MS"/>
          <w:b/>
          <w:color w:val="00B050"/>
          <w:sz w:val="28"/>
          <w:u w:val="single"/>
        </w:rPr>
      </w:pPr>
      <w:r w:rsidRPr="00A86A53">
        <w:rPr>
          <w:noProof/>
          <w:lang w:eastAsia="en-GB"/>
        </w:rPr>
        <w:lastRenderedPageBreak/>
        <w:drawing>
          <wp:inline distT="0" distB="0" distL="0" distR="0" wp14:anchorId="124D68B7" wp14:editId="49DE6372">
            <wp:extent cx="2057400" cy="18713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0934" cy="1874573"/>
                    </a:xfrm>
                    <a:prstGeom prst="rect">
                      <a:avLst/>
                    </a:prstGeom>
                  </pic:spPr>
                </pic:pic>
              </a:graphicData>
            </a:graphic>
          </wp:inline>
        </w:drawing>
      </w:r>
    </w:p>
    <w:p w14:paraId="62E207AD" w14:textId="7BBDB698" w:rsidR="00AB6C9C" w:rsidRDefault="00AB6C9C" w:rsidP="00AB6C9C">
      <w:pPr>
        <w:rPr>
          <w:rFonts w:ascii="Comic Sans MS" w:hAnsi="Comic Sans MS"/>
          <w:color w:val="000000" w:themeColor="text1"/>
          <w:sz w:val="20"/>
        </w:rPr>
      </w:pPr>
      <w:r w:rsidRPr="00AB6C9C">
        <w:rPr>
          <w:rFonts w:ascii="Comic Sans MS" w:hAnsi="Comic Sans MS"/>
          <w:color w:val="000000" w:themeColor="text1"/>
          <w:sz w:val="20"/>
        </w:rPr>
        <w:t xml:space="preserve">Part-part-whole thinking refers to how numbers can be split into parts. It allows </w:t>
      </w:r>
      <w:r w:rsidR="00A86A53">
        <w:rPr>
          <w:rFonts w:ascii="Comic Sans MS" w:hAnsi="Comic Sans MS"/>
          <w:color w:val="000000" w:themeColor="text1"/>
          <w:sz w:val="20"/>
        </w:rPr>
        <w:t>learner</w:t>
      </w:r>
      <w:r w:rsidRPr="00AB6C9C">
        <w:rPr>
          <w:rFonts w:ascii="Comic Sans MS" w:hAnsi="Comic Sans MS"/>
          <w:color w:val="000000" w:themeColor="text1"/>
          <w:sz w:val="20"/>
        </w:rPr>
        <w:t xml:space="preserve">s to see the relationship between a number and its component parts. As a result, </w:t>
      </w:r>
      <w:r w:rsidR="00A86A53">
        <w:rPr>
          <w:rFonts w:ascii="Comic Sans MS" w:hAnsi="Comic Sans MS"/>
          <w:color w:val="000000" w:themeColor="text1"/>
          <w:sz w:val="20"/>
        </w:rPr>
        <w:t>learner</w:t>
      </w:r>
      <w:r w:rsidRPr="00AB6C9C">
        <w:rPr>
          <w:rFonts w:ascii="Comic Sans MS" w:hAnsi="Comic Sans MS"/>
          <w:color w:val="000000" w:themeColor="text1"/>
          <w:sz w:val="20"/>
        </w:rPr>
        <w:t xml:space="preserve">s generalise the connections between addition and subtraction. Part-part-whole reasoning is a critical underpinning concept required for flexible and efficient computation. It also assists students’ attempts to visualise, interpret and solve word problems.  </w:t>
      </w:r>
    </w:p>
    <w:p w14:paraId="3640EC85" w14:textId="561F7F35" w:rsidR="00AB6C9C" w:rsidRDefault="00AB6C9C" w:rsidP="00AB6C9C">
      <w:pPr>
        <w:rPr>
          <w:rFonts w:ascii="Comic Sans MS" w:hAnsi="Comic Sans MS"/>
          <w:color w:val="000000" w:themeColor="text1"/>
          <w:sz w:val="20"/>
        </w:rPr>
      </w:pPr>
      <w:r>
        <w:rPr>
          <w:rFonts w:ascii="Comic Sans MS" w:hAnsi="Comic Sans MS"/>
          <w:color w:val="000000" w:themeColor="text1"/>
          <w:sz w:val="20"/>
        </w:rPr>
        <w:t>Part – Part – Whole models can be represented in a variety of ways</w:t>
      </w:r>
      <w:r w:rsidR="00A86A53">
        <w:rPr>
          <w:rFonts w:ascii="Comic Sans MS" w:hAnsi="Comic Sans MS"/>
          <w:color w:val="000000" w:themeColor="text1"/>
          <w:sz w:val="20"/>
        </w:rPr>
        <w:t xml:space="preserve"> and can be used at the concrete, pictorial and abstract stages.</w:t>
      </w:r>
    </w:p>
    <w:p w14:paraId="3604AF1F" w14:textId="2BBDC58E" w:rsidR="00A86A53" w:rsidRPr="00AB6C9C" w:rsidRDefault="00A86A53" w:rsidP="00A86A53">
      <w:pPr>
        <w:jc w:val="center"/>
        <w:rPr>
          <w:rFonts w:ascii="Comic Sans MS" w:hAnsi="Comic Sans MS"/>
          <w:color w:val="000000" w:themeColor="text1"/>
          <w:sz w:val="20"/>
        </w:rPr>
      </w:pPr>
      <w:r w:rsidRPr="00A86A53">
        <w:rPr>
          <w:noProof/>
          <w:lang w:eastAsia="en-GB"/>
        </w:rPr>
        <w:lastRenderedPageBreak/>
        <w:drawing>
          <wp:inline distT="0" distB="0" distL="0" distR="0" wp14:anchorId="2A50A2FE" wp14:editId="48D0DD48">
            <wp:extent cx="3105150" cy="40251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9343" cy="4030630"/>
                    </a:xfrm>
                    <a:prstGeom prst="rect">
                      <a:avLst/>
                    </a:prstGeom>
                  </pic:spPr>
                </pic:pic>
              </a:graphicData>
            </a:graphic>
          </wp:inline>
        </w:drawing>
      </w:r>
    </w:p>
    <w:p w14:paraId="7BFDAE9E" w14:textId="6583BAEF" w:rsidR="009A2C4C" w:rsidRDefault="00A86A53" w:rsidP="00A86A53">
      <w:pPr>
        <w:rPr>
          <w:rFonts w:ascii="Comic Sans MS" w:hAnsi="Comic Sans MS"/>
          <w:b/>
          <w:color w:val="000000" w:themeColor="text1"/>
          <w:sz w:val="24"/>
          <w:u w:val="single"/>
        </w:rPr>
      </w:pPr>
      <w:r w:rsidRPr="00A86A53">
        <w:rPr>
          <w:rFonts w:ascii="Comic Sans MS" w:hAnsi="Comic Sans MS"/>
          <w:b/>
          <w:color w:val="000000" w:themeColor="text1"/>
          <w:sz w:val="24"/>
          <w:u w:val="single"/>
        </w:rPr>
        <w:t>Support for Staff</w:t>
      </w:r>
    </w:p>
    <w:p w14:paraId="09A743DC" w14:textId="43E74772" w:rsidR="00A86A53" w:rsidRDefault="00A86A53" w:rsidP="00A86A53">
      <w:pPr>
        <w:pStyle w:val="ListParagraph"/>
        <w:numPr>
          <w:ilvl w:val="0"/>
          <w:numId w:val="3"/>
        </w:numPr>
        <w:rPr>
          <w:rFonts w:ascii="Comic Sans MS" w:hAnsi="Comic Sans MS"/>
          <w:color w:val="000000" w:themeColor="text1"/>
          <w:sz w:val="24"/>
        </w:rPr>
      </w:pPr>
      <w:r>
        <w:rPr>
          <w:rFonts w:ascii="Comic Sans MS" w:hAnsi="Comic Sans MS"/>
          <w:color w:val="000000" w:themeColor="text1"/>
          <w:sz w:val="24"/>
        </w:rPr>
        <w:t>Part – part – whole packs provided for P1, 2 and 3 whilst being shared with all stages to support the learning and teaching of children with ASN</w:t>
      </w:r>
    </w:p>
    <w:p w14:paraId="1AACC725" w14:textId="74960B51" w:rsidR="00A86A53" w:rsidRDefault="00A86A53" w:rsidP="00A86A53">
      <w:pPr>
        <w:pStyle w:val="ListParagraph"/>
        <w:numPr>
          <w:ilvl w:val="0"/>
          <w:numId w:val="3"/>
        </w:numPr>
        <w:rPr>
          <w:rFonts w:ascii="Comic Sans MS" w:hAnsi="Comic Sans MS"/>
          <w:color w:val="000000" w:themeColor="text1"/>
          <w:sz w:val="24"/>
        </w:rPr>
      </w:pPr>
      <w:r>
        <w:rPr>
          <w:rFonts w:ascii="Comic Sans MS" w:hAnsi="Comic Sans MS"/>
          <w:color w:val="000000" w:themeColor="text1"/>
          <w:sz w:val="24"/>
        </w:rPr>
        <w:lastRenderedPageBreak/>
        <w:t>Part-part-whole interactive teaching resources available in Staff Shared Area – Numeracy – Maths Mastery – PPW</w:t>
      </w:r>
    </w:p>
    <w:p w14:paraId="3B3D1212" w14:textId="7B90D38E" w:rsidR="00A86A53" w:rsidRDefault="00A86A53" w:rsidP="00A86A53">
      <w:pPr>
        <w:pStyle w:val="ListParagraph"/>
        <w:jc w:val="center"/>
        <w:rPr>
          <w:rFonts w:ascii="Comic Sans MS" w:hAnsi="Comic Sans MS"/>
          <w:b/>
          <w:color w:val="00B050"/>
          <w:sz w:val="28"/>
          <w:u w:val="single"/>
        </w:rPr>
      </w:pPr>
      <w:r w:rsidRPr="00A86A53">
        <w:rPr>
          <w:rFonts w:ascii="Comic Sans MS" w:hAnsi="Comic Sans MS"/>
          <w:b/>
          <w:color w:val="00B050"/>
          <w:sz w:val="28"/>
          <w:u w:val="single"/>
        </w:rPr>
        <w:t xml:space="preserve">Term </w:t>
      </w:r>
      <w:r>
        <w:rPr>
          <w:rFonts w:ascii="Comic Sans MS" w:hAnsi="Comic Sans MS"/>
          <w:b/>
          <w:color w:val="00B050"/>
          <w:sz w:val="28"/>
          <w:u w:val="single"/>
        </w:rPr>
        <w:t>4</w:t>
      </w:r>
      <w:r w:rsidRPr="00A86A53">
        <w:rPr>
          <w:rFonts w:ascii="Comic Sans MS" w:hAnsi="Comic Sans MS"/>
          <w:b/>
          <w:color w:val="00B050"/>
          <w:sz w:val="28"/>
          <w:u w:val="single"/>
        </w:rPr>
        <w:t xml:space="preserve"> Focus: </w:t>
      </w:r>
      <w:r>
        <w:rPr>
          <w:rFonts w:ascii="Comic Sans MS" w:hAnsi="Comic Sans MS"/>
          <w:b/>
          <w:color w:val="00B050"/>
          <w:sz w:val="28"/>
          <w:u w:val="single"/>
        </w:rPr>
        <w:t>Show It, Draw It, Explain It, Prove It</w:t>
      </w:r>
      <w:r w:rsidR="002831AC">
        <w:rPr>
          <w:rFonts w:ascii="Comic Sans MS" w:hAnsi="Comic Sans MS"/>
          <w:b/>
          <w:color w:val="00B050"/>
          <w:sz w:val="28"/>
          <w:u w:val="single"/>
        </w:rPr>
        <w:t xml:space="preserve"> </w:t>
      </w:r>
    </w:p>
    <w:p w14:paraId="6EB0DD04" w14:textId="77777777" w:rsidR="00A86A53" w:rsidRPr="00A86A53" w:rsidRDefault="00A86A53" w:rsidP="00A86A53">
      <w:pPr>
        <w:pStyle w:val="ListParagraph"/>
        <w:rPr>
          <w:rFonts w:ascii="Comic Sans MS" w:hAnsi="Comic Sans MS"/>
          <w:b/>
          <w:color w:val="00B050"/>
          <w:sz w:val="28"/>
          <w:u w:val="single"/>
        </w:rPr>
      </w:pPr>
    </w:p>
    <w:p w14:paraId="72C57277" w14:textId="1EBE19D1" w:rsidR="00A86A53" w:rsidRPr="005B78DE" w:rsidRDefault="002831AC" w:rsidP="002831AC">
      <w:pPr>
        <w:pStyle w:val="ListParagraph"/>
        <w:jc w:val="center"/>
        <w:rPr>
          <w:rFonts w:ascii="Comic Sans MS" w:hAnsi="Comic Sans MS"/>
          <w:color w:val="000000" w:themeColor="text1"/>
          <w:sz w:val="16"/>
        </w:rPr>
      </w:pPr>
      <w:r w:rsidRPr="005B78DE">
        <w:rPr>
          <w:rFonts w:ascii="Comic Sans MS" w:hAnsi="Comic Sans MS"/>
          <w:noProof/>
          <w:sz w:val="14"/>
          <w:lang w:eastAsia="en-GB"/>
        </w:rPr>
        <w:lastRenderedPageBreak/>
        <w:drawing>
          <wp:inline distT="0" distB="0" distL="0" distR="0" wp14:anchorId="22F01280" wp14:editId="139A3A5F">
            <wp:extent cx="3455444" cy="4345305"/>
            <wp:effectExtent l="209550" t="209550" r="202565" b="2076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97" t="4023" r="6788" b="14188"/>
                    <a:stretch/>
                  </pic:blipFill>
                  <pic:spPr bwMode="auto">
                    <a:xfrm>
                      <a:off x="0" y="0"/>
                      <a:ext cx="3462494" cy="4354170"/>
                    </a:xfrm>
                    <a:prstGeom prst="rect">
                      <a:avLst/>
                    </a:prstGeom>
                    <a:ln>
                      <a:solidFill>
                        <a:schemeClr val="tx1"/>
                      </a:solid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EA8CDC9" w14:textId="58B9ACE4" w:rsidR="002831AC" w:rsidRPr="005B78DE" w:rsidRDefault="002831AC" w:rsidP="002831AC">
      <w:pPr>
        <w:pStyle w:val="ListParagraph"/>
        <w:jc w:val="center"/>
        <w:rPr>
          <w:rFonts w:ascii="Comic Sans MS" w:hAnsi="Comic Sans MS"/>
          <w:color w:val="000000" w:themeColor="text1"/>
          <w:sz w:val="20"/>
          <w:szCs w:val="30"/>
        </w:rPr>
      </w:pPr>
      <w:r w:rsidRPr="005B78DE">
        <w:rPr>
          <w:rFonts w:ascii="Comic Sans MS" w:hAnsi="Comic Sans MS"/>
          <w:color w:val="000000" w:themeColor="text1"/>
          <w:sz w:val="20"/>
          <w:szCs w:val="30"/>
        </w:rPr>
        <w:t xml:space="preserve">The ‘Show It, Draw It, Explain It, Prove It’ can be a useful tool for assessing a pupil’s the depth of a learner’s understanding of a concept, idea or strategy. </w:t>
      </w:r>
    </w:p>
    <w:p w14:paraId="6CC9F5A1" w14:textId="77777777" w:rsidR="002831AC" w:rsidRPr="005B78DE" w:rsidRDefault="002831AC" w:rsidP="002831AC">
      <w:pPr>
        <w:pStyle w:val="ListParagraph"/>
        <w:jc w:val="center"/>
        <w:rPr>
          <w:rFonts w:ascii="Comic Sans MS" w:hAnsi="Comic Sans MS"/>
          <w:color w:val="000000" w:themeColor="text1"/>
          <w:sz w:val="20"/>
          <w:szCs w:val="30"/>
        </w:rPr>
      </w:pPr>
    </w:p>
    <w:p w14:paraId="7DF12F74" w14:textId="7E825E5C" w:rsidR="002831AC" w:rsidRDefault="002831AC" w:rsidP="002831AC">
      <w:pPr>
        <w:pStyle w:val="ListParagraph"/>
        <w:jc w:val="center"/>
        <w:rPr>
          <w:rFonts w:ascii="Comic Sans MS" w:hAnsi="Comic Sans MS"/>
          <w:color w:val="000000" w:themeColor="text1"/>
          <w:sz w:val="20"/>
          <w:szCs w:val="30"/>
        </w:rPr>
      </w:pPr>
      <w:r w:rsidRPr="005B78DE">
        <w:rPr>
          <w:rFonts w:ascii="Comic Sans MS" w:hAnsi="Comic Sans MS"/>
          <w:color w:val="000000" w:themeColor="text1"/>
          <w:sz w:val="20"/>
          <w:szCs w:val="30"/>
        </w:rPr>
        <w:lastRenderedPageBreak/>
        <w:t>It can also be used a</w:t>
      </w:r>
      <w:r w:rsidR="001D64F5">
        <w:rPr>
          <w:rFonts w:ascii="Comic Sans MS" w:hAnsi="Comic Sans MS"/>
          <w:color w:val="000000" w:themeColor="text1"/>
          <w:sz w:val="20"/>
          <w:szCs w:val="30"/>
        </w:rPr>
        <w:t>s a</w:t>
      </w:r>
      <w:r w:rsidRPr="005B78DE">
        <w:rPr>
          <w:rFonts w:ascii="Comic Sans MS" w:hAnsi="Comic Sans MS"/>
          <w:color w:val="000000" w:themeColor="text1"/>
          <w:sz w:val="20"/>
          <w:szCs w:val="30"/>
        </w:rPr>
        <w:t xml:space="preserve"> teaching and </w:t>
      </w:r>
      <w:r w:rsidR="005B78DE" w:rsidRPr="005B78DE">
        <w:rPr>
          <w:rFonts w:ascii="Comic Sans MS" w:hAnsi="Comic Sans MS"/>
          <w:color w:val="000000" w:themeColor="text1"/>
          <w:sz w:val="20"/>
          <w:szCs w:val="30"/>
        </w:rPr>
        <w:t>learning strategy to deepen</w:t>
      </w:r>
      <w:r w:rsidRPr="005B78DE">
        <w:rPr>
          <w:rFonts w:ascii="Comic Sans MS" w:hAnsi="Comic Sans MS"/>
          <w:color w:val="000000" w:themeColor="text1"/>
          <w:sz w:val="20"/>
          <w:szCs w:val="30"/>
        </w:rPr>
        <w:t xml:space="preserve"> understanding</w:t>
      </w:r>
      <w:r w:rsidR="005B78DE" w:rsidRPr="005B78DE">
        <w:rPr>
          <w:rFonts w:ascii="Comic Sans MS" w:hAnsi="Comic Sans MS"/>
          <w:color w:val="000000" w:themeColor="text1"/>
          <w:sz w:val="20"/>
          <w:szCs w:val="30"/>
        </w:rPr>
        <w:t xml:space="preserve">, </w:t>
      </w:r>
      <w:r w:rsidRPr="005B78DE">
        <w:rPr>
          <w:rFonts w:ascii="Comic Sans MS" w:hAnsi="Comic Sans MS"/>
          <w:color w:val="000000" w:themeColor="text1"/>
          <w:sz w:val="20"/>
          <w:szCs w:val="30"/>
        </w:rPr>
        <w:t>help with problem solving and</w:t>
      </w:r>
      <w:r w:rsidR="005B78DE" w:rsidRPr="005B78DE">
        <w:rPr>
          <w:rFonts w:ascii="Comic Sans MS" w:hAnsi="Comic Sans MS"/>
          <w:color w:val="000000" w:themeColor="text1"/>
          <w:sz w:val="20"/>
          <w:szCs w:val="30"/>
        </w:rPr>
        <w:t xml:space="preserve"> develop</w:t>
      </w:r>
      <w:r w:rsidRPr="005B78DE">
        <w:rPr>
          <w:rFonts w:ascii="Comic Sans MS" w:hAnsi="Comic Sans MS"/>
          <w:color w:val="000000" w:themeColor="text1"/>
          <w:sz w:val="20"/>
          <w:szCs w:val="30"/>
        </w:rPr>
        <w:t xml:space="preserve"> reasoning. </w:t>
      </w:r>
      <w:r w:rsidR="001D64F5">
        <w:rPr>
          <w:rFonts w:ascii="Comic Sans MS" w:hAnsi="Comic Sans MS"/>
          <w:color w:val="000000" w:themeColor="text1"/>
          <w:sz w:val="20"/>
          <w:szCs w:val="30"/>
        </w:rPr>
        <w:t xml:space="preserve">This approach is underpinned by Jo </w:t>
      </w:r>
      <w:proofErr w:type="spellStart"/>
      <w:r w:rsidR="001D64F5">
        <w:rPr>
          <w:rFonts w:ascii="Comic Sans MS" w:hAnsi="Comic Sans MS"/>
          <w:color w:val="000000" w:themeColor="text1"/>
          <w:sz w:val="20"/>
          <w:szCs w:val="30"/>
        </w:rPr>
        <w:t>Boaler’s</w:t>
      </w:r>
      <w:proofErr w:type="spellEnd"/>
      <w:r w:rsidR="001D64F5">
        <w:rPr>
          <w:rFonts w:ascii="Comic Sans MS" w:hAnsi="Comic Sans MS"/>
          <w:color w:val="000000" w:themeColor="text1"/>
          <w:sz w:val="20"/>
          <w:szCs w:val="30"/>
        </w:rPr>
        <w:t xml:space="preserve"> thoughts that multiple representations of a concept is more valuable than doing a page full of calculations. </w:t>
      </w:r>
    </w:p>
    <w:p w14:paraId="06197291" w14:textId="194CDBFA" w:rsidR="005B78DE" w:rsidRDefault="005B78DE" w:rsidP="002831AC">
      <w:pPr>
        <w:pStyle w:val="ListParagraph"/>
        <w:jc w:val="center"/>
        <w:rPr>
          <w:rFonts w:ascii="Comic Sans MS" w:hAnsi="Comic Sans MS"/>
          <w:color w:val="000000" w:themeColor="text1"/>
          <w:sz w:val="20"/>
          <w:szCs w:val="30"/>
        </w:rPr>
      </w:pPr>
    </w:p>
    <w:p w14:paraId="7251433D" w14:textId="77777777" w:rsidR="005B78DE" w:rsidRPr="005B78DE" w:rsidRDefault="005B78DE" w:rsidP="005B78DE">
      <w:pPr>
        <w:rPr>
          <w:rFonts w:ascii="Comic Sans MS" w:hAnsi="Comic Sans MS"/>
          <w:b/>
          <w:color w:val="000000" w:themeColor="text1"/>
          <w:sz w:val="24"/>
          <w:szCs w:val="24"/>
          <w:u w:val="single"/>
        </w:rPr>
      </w:pPr>
      <w:r w:rsidRPr="00A86A53">
        <w:rPr>
          <w:rFonts w:ascii="Comic Sans MS" w:hAnsi="Comic Sans MS"/>
          <w:b/>
          <w:color w:val="000000" w:themeColor="text1"/>
          <w:sz w:val="24"/>
          <w:u w:val="single"/>
        </w:rPr>
        <w:t xml:space="preserve">Support for </w:t>
      </w:r>
      <w:r w:rsidRPr="005B78DE">
        <w:rPr>
          <w:rFonts w:ascii="Comic Sans MS" w:hAnsi="Comic Sans MS"/>
          <w:b/>
          <w:color w:val="000000" w:themeColor="text1"/>
          <w:sz w:val="24"/>
          <w:szCs w:val="24"/>
          <w:u w:val="single"/>
        </w:rPr>
        <w:t>Staff</w:t>
      </w:r>
    </w:p>
    <w:p w14:paraId="33A631B6" w14:textId="7A17AAB4" w:rsidR="00AA7F28" w:rsidRPr="00AA7F28" w:rsidRDefault="00AA7F28" w:rsidP="00AA7F28">
      <w:pPr>
        <w:pStyle w:val="ListParagraph"/>
        <w:numPr>
          <w:ilvl w:val="0"/>
          <w:numId w:val="3"/>
        </w:numPr>
        <w:rPr>
          <w:rFonts w:ascii="Comic Sans MS" w:hAnsi="Comic Sans MS"/>
          <w:color w:val="000000" w:themeColor="text1"/>
          <w:sz w:val="24"/>
        </w:rPr>
      </w:pPr>
      <w:r>
        <w:rPr>
          <w:rFonts w:ascii="Comic Sans MS" w:hAnsi="Comic Sans MS"/>
          <w:color w:val="000000" w:themeColor="text1"/>
          <w:sz w:val="24"/>
        </w:rPr>
        <w:t>Introduce to staff at April CSM</w:t>
      </w:r>
      <w:bookmarkStart w:id="0" w:name="_GoBack"/>
      <w:bookmarkEnd w:id="0"/>
    </w:p>
    <w:p w14:paraId="2D8C45CE" w14:textId="1992E69F" w:rsidR="00AA7F28" w:rsidRDefault="00AA7F28" w:rsidP="00AA7F28">
      <w:pPr>
        <w:pStyle w:val="ListParagraph"/>
        <w:numPr>
          <w:ilvl w:val="0"/>
          <w:numId w:val="3"/>
        </w:numPr>
        <w:rPr>
          <w:rFonts w:ascii="Comic Sans MS" w:hAnsi="Comic Sans MS"/>
          <w:color w:val="000000" w:themeColor="text1"/>
          <w:sz w:val="24"/>
        </w:rPr>
      </w:pPr>
      <w:r>
        <w:rPr>
          <w:rFonts w:ascii="Comic Sans MS" w:hAnsi="Comic Sans MS"/>
          <w:color w:val="000000" w:themeColor="text1"/>
          <w:sz w:val="24"/>
          <w:szCs w:val="24"/>
        </w:rPr>
        <w:t>Paper and interactive t</w:t>
      </w:r>
      <w:r w:rsidR="005B78DE" w:rsidRPr="005B78DE">
        <w:rPr>
          <w:rFonts w:ascii="Comic Sans MS" w:hAnsi="Comic Sans MS"/>
          <w:color w:val="000000" w:themeColor="text1"/>
          <w:sz w:val="24"/>
          <w:szCs w:val="24"/>
        </w:rPr>
        <w:t>emplates</w:t>
      </w:r>
      <w:r>
        <w:rPr>
          <w:rFonts w:ascii="Comic Sans MS" w:hAnsi="Comic Sans MS"/>
          <w:color w:val="000000" w:themeColor="text1"/>
          <w:sz w:val="24"/>
          <w:szCs w:val="24"/>
        </w:rPr>
        <w:t xml:space="preserve"> provided in the </w:t>
      </w:r>
      <w:r>
        <w:rPr>
          <w:rFonts w:ascii="Comic Sans MS" w:hAnsi="Comic Sans MS"/>
          <w:color w:val="000000" w:themeColor="text1"/>
          <w:sz w:val="24"/>
        </w:rPr>
        <w:t xml:space="preserve">Staff Shared Area </w:t>
      </w:r>
      <w:r>
        <w:rPr>
          <w:rFonts w:ascii="Comic Sans MS" w:hAnsi="Comic Sans MS"/>
          <w:color w:val="000000" w:themeColor="text1"/>
          <w:sz w:val="24"/>
        </w:rPr>
        <w:t>– Numeracy – Maths Mastery – multiple representations</w:t>
      </w:r>
    </w:p>
    <w:p w14:paraId="349FD23D" w14:textId="3A563DF0" w:rsidR="005B78DE" w:rsidRPr="00AA7F28" w:rsidRDefault="00AA7F28" w:rsidP="00AA7F28">
      <w:pPr>
        <w:pStyle w:val="ListParagraph"/>
        <w:numPr>
          <w:ilvl w:val="0"/>
          <w:numId w:val="3"/>
        </w:numPr>
        <w:rPr>
          <w:rFonts w:ascii="Comic Sans MS" w:hAnsi="Comic Sans MS"/>
          <w:color w:val="000000" w:themeColor="text1"/>
          <w:sz w:val="24"/>
        </w:rPr>
      </w:pPr>
      <w:r w:rsidRPr="00AA7F28">
        <w:rPr>
          <w:rFonts w:ascii="Comic Sans MS" w:hAnsi="Comic Sans MS"/>
          <w:color w:val="000000" w:themeColor="text1"/>
          <w:sz w:val="24"/>
          <w:szCs w:val="24"/>
        </w:rPr>
        <w:t>I</w:t>
      </w:r>
      <w:r w:rsidR="005B78DE" w:rsidRPr="00AA7F28">
        <w:rPr>
          <w:rFonts w:ascii="Comic Sans MS" w:hAnsi="Comic Sans MS"/>
          <w:color w:val="000000" w:themeColor="text1"/>
          <w:sz w:val="24"/>
          <w:szCs w:val="24"/>
        </w:rPr>
        <w:t>deas for use</w:t>
      </w:r>
      <w:r>
        <w:rPr>
          <w:rFonts w:ascii="Comic Sans MS" w:hAnsi="Comic Sans MS"/>
          <w:color w:val="000000" w:themeColor="text1"/>
          <w:sz w:val="24"/>
          <w:szCs w:val="24"/>
        </w:rPr>
        <w:t xml:space="preserve"> provided for all staff members with completed examples</w:t>
      </w:r>
    </w:p>
    <w:p w14:paraId="3F44EF85" w14:textId="77777777" w:rsidR="005B78DE" w:rsidRPr="005B78DE" w:rsidRDefault="005B78DE" w:rsidP="00AA7F28">
      <w:pPr>
        <w:pStyle w:val="ListParagraph"/>
        <w:ind w:left="1440"/>
        <w:rPr>
          <w:rFonts w:ascii="Comic Sans MS" w:hAnsi="Comic Sans MS"/>
          <w:color w:val="000000" w:themeColor="text1"/>
          <w:sz w:val="24"/>
          <w:szCs w:val="24"/>
        </w:rPr>
      </w:pPr>
    </w:p>
    <w:sectPr w:rsidR="005B78DE" w:rsidRPr="005B78DE" w:rsidSect="004D459C">
      <w:pgSz w:w="11906" w:h="16838"/>
      <w:pgMar w:top="720" w:right="720" w:bottom="720" w:left="720" w:header="708" w:footer="708" w:gutter="0"/>
      <w:pgBorders w:offsetFrom="page">
        <w:top w:val="triple" w:sz="4" w:space="24" w:color="00B050"/>
        <w:left w:val="triple" w:sz="4" w:space="24" w:color="00B050"/>
        <w:bottom w:val="triple" w:sz="4" w:space="24" w:color="00B050"/>
        <w:right w:val="triple" w:sz="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D1FB5"/>
    <w:multiLevelType w:val="hybridMultilevel"/>
    <w:tmpl w:val="0F56C42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15:restartNumberingAfterBreak="0">
    <w:nsid w:val="328D7755"/>
    <w:multiLevelType w:val="hybridMultilevel"/>
    <w:tmpl w:val="B13252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6F4D34E0"/>
    <w:multiLevelType w:val="hybridMultilevel"/>
    <w:tmpl w:val="43D82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E25129"/>
    <w:multiLevelType w:val="hybridMultilevel"/>
    <w:tmpl w:val="C5224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59C"/>
    <w:rsid w:val="001D64F5"/>
    <w:rsid w:val="002831AC"/>
    <w:rsid w:val="00492182"/>
    <w:rsid w:val="004D459C"/>
    <w:rsid w:val="005B78DE"/>
    <w:rsid w:val="005C55BB"/>
    <w:rsid w:val="008425B2"/>
    <w:rsid w:val="009A2C4C"/>
    <w:rsid w:val="00A86A53"/>
    <w:rsid w:val="00AA7F28"/>
    <w:rsid w:val="00AB6C9C"/>
    <w:rsid w:val="00CE5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A3186"/>
  <w15:chartTrackingRefBased/>
  <w15:docId w15:val="{7308468A-CCEF-4C6E-B980-4DC0ED505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5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uk/url?sa=i&amp;rct=j&amp;q=&amp;esrc=s&amp;source=images&amp;cd=&amp;cad=rja&amp;uact=8&amp;ved=2ahUKEwiPkeSztIfgAhVPxhoKHQWABJUQjRx6BAgBEAU&amp;url=http://mpsmpsmpsmps.blogspot.com/2012/08/maths-makes-sense.html&amp;psig=AOvVaw0iF3fpF8zDgMV7FRKK7594&amp;ust=1548453262777564"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Pages>
  <Words>751</Words>
  <Characters>4284</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robbie lockie</dc:creator>
  <cp:keywords/>
  <dc:description/>
  <cp:lastModifiedBy>Lockie, Lucy</cp:lastModifiedBy>
  <cp:revision>2</cp:revision>
  <dcterms:created xsi:type="dcterms:W3CDTF">2019-01-25T11:33:00Z</dcterms:created>
  <dcterms:modified xsi:type="dcterms:W3CDTF">2019-01-25T11:33:00Z</dcterms:modified>
</cp:coreProperties>
</file>